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5113F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Attachment</w:t>
      </w: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1</w:t>
      </w:r>
      <w:r>
        <w:rPr>
          <w:rFonts w:ascii="Times New Roman" w:hAnsi="Times New Roman" w:cs="Times New Roman"/>
          <w:sz w:val="28"/>
          <w:szCs w:val="32"/>
        </w:rPr>
        <w:t>:</w:t>
      </w:r>
    </w:p>
    <w:p w14:paraId="065E3E6C">
      <w:pPr>
        <w:widowControl/>
        <w:jc w:val="both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  <w:t xml:space="preserve">For the beam KA2AE, KA2BE, KA2ME, KA3AE, KA3BE, KA3ME, KA4AE, KA4BE, KA4ME, QV1AE, QV1BE, QV1ME (E) filed in the inter-satellite service, the power density will be reduced and the boresight of each of the beams will be pointed such that the relevant Article 21 PFD limit is met; 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lang w:bidi="ar"/>
        </w:rPr>
        <w:t xml:space="preserve">The minimum angle between the </w:t>
      </w:r>
      <w:r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  <w:t>KA2AE, KA2B</w:t>
      </w:r>
      <w:bookmarkStart w:id="0" w:name="_GoBack"/>
      <w:bookmarkEnd w:id="0"/>
      <w:r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  <w:t>E, KA2ME, KA3AE, KA3BE, KA3ME, KA4AE, KA4BE, KA4ME, QV1AE, QV1BE, QV1ME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lang w:bidi="ar"/>
        </w:rPr>
        <w:t xml:space="preserve"> beam boresight and the Earth's horizon is at least 60 degrees. As a result, the main gain of </w:t>
      </w:r>
      <w:r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  <w:t>KA2AE, KA2BE, KA2ME, KA3AE, KA3BE, KA3ME, KA4AE, KA4BE, KA4ME, QV1AE, QV1BE, QV1ME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lang w:bidi="ar"/>
        </w:rPr>
        <w:t xml:space="preserve"> directed toward the Earth is attenuated by no less than 40 dBc.</w:t>
      </w:r>
      <w:r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  <w:t>, thus ensuring that the EIRP density toward any point on the Earth will not exceed the following values:</w:t>
      </w:r>
    </w:p>
    <w:p w14:paraId="1EAAF62B">
      <w:pPr>
        <w:widowControl/>
        <w:jc w:val="both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tbl>
      <w:tblPr>
        <w:tblStyle w:val="1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6027"/>
      </w:tblGrid>
      <w:tr w14:paraId="4FC5A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Header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0068B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Beam Name</w:t>
            </w:r>
          </w:p>
        </w:tc>
        <w:tc>
          <w:tcPr>
            <w:tcW w:w="353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2B8CCF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Maximum EIRP density toward any point on Earth</w:t>
            </w:r>
            <w:r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dBW/Hz</w:t>
            </w:r>
            <w:r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）</w:t>
            </w:r>
          </w:p>
        </w:tc>
      </w:tr>
      <w:tr w14:paraId="5C1CF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7DF26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KA2AE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788F4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-81</w:t>
            </w:r>
          </w:p>
        </w:tc>
      </w:tr>
      <w:tr w14:paraId="36719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852B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KA2BE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FD1091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-73.6</w:t>
            </w:r>
          </w:p>
        </w:tc>
      </w:tr>
      <w:tr w14:paraId="74721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E97FE7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KA2ME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DF9C0A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-69.6</w:t>
            </w:r>
          </w:p>
        </w:tc>
      </w:tr>
      <w:tr w14:paraId="666C4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F205FA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KA3AE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11FEE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-75.8</w:t>
            </w:r>
          </w:p>
        </w:tc>
      </w:tr>
      <w:tr w14:paraId="0612C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2BE2DE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KA3BE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435B4F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-68.4</w:t>
            </w:r>
          </w:p>
        </w:tc>
      </w:tr>
      <w:tr w14:paraId="22908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F72F8A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KA3ME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577782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-64.4</w:t>
            </w:r>
          </w:p>
        </w:tc>
      </w:tr>
      <w:tr w14:paraId="0C7D6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B190D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KA4AE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B51F4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-78</w:t>
            </w:r>
          </w:p>
        </w:tc>
      </w:tr>
      <w:tr w14:paraId="19141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5BCDE5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KA4BE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58B492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-70.6</w:t>
            </w:r>
          </w:p>
        </w:tc>
      </w:tr>
      <w:tr w14:paraId="0EDAD1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FA660B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KA4ME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F9CA83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-66.6</w:t>
            </w:r>
          </w:p>
        </w:tc>
      </w:tr>
      <w:tr w14:paraId="081BA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B2EA8C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QV1AE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333F99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-79.4</w:t>
            </w:r>
          </w:p>
        </w:tc>
      </w:tr>
      <w:tr w14:paraId="5E46D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1DE62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QV1BE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6C1AA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-72</w:t>
            </w:r>
          </w:p>
        </w:tc>
      </w:tr>
      <w:tr w14:paraId="51B5A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6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8B8254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QV1ME</w:t>
            </w:r>
          </w:p>
        </w:tc>
        <w:tc>
          <w:tcPr>
            <w:tcW w:w="353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449930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14:ligatures w14:val="none"/>
              </w:rPr>
              <w:t>-68</w:t>
            </w:r>
          </w:p>
        </w:tc>
      </w:tr>
    </w:tbl>
    <w:p w14:paraId="5B95C520"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95"/>
    <w:rsid w:val="000131EA"/>
    <w:rsid w:val="00023E67"/>
    <w:rsid w:val="00031C91"/>
    <w:rsid w:val="0004461A"/>
    <w:rsid w:val="00045C60"/>
    <w:rsid w:val="00052521"/>
    <w:rsid w:val="00070F53"/>
    <w:rsid w:val="00294889"/>
    <w:rsid w:val="002F7750"/>
    <w:rsid w:val="0036736E"/>
    <w:rsid w:val="003A1DB6"/>
    <w:rsid w:val="003C2530"/>
    <w:rsid w:val="00404895"/>
    <w:rsid w:val="00424444"/>
    <w:rsid w:val="00430171"/>
    <w:rsid w:val="00442639"/>
    <w:rsid w:val="00444898"/>
    <w:rsid w:val="004B422D"/>
    <w:rsid w:val="004F40BA"/>
    <w:rsid w:val="005153B2"/>
    <w:rsid w:val="00531234"/>
    <w:rsid w:val="00673C95"/>
    <w:rsid w:val="006865EA"/>
    <w:rsid w:val="006C5233"/>
    <w:rsid w:val="007216C9"/>
    <w:rsid w:val="0072604E"/>
    <w:rsid w:val="007359D3"/>
    <w:rsid w:val="0079067C"/>
    <w:rsid w:val="007D7D56"/>
    <w:rsid w:val="00881618"/>
    <w:rsid w:val="00953B9F"/>
    <w:rsid w:val="009557C6"/>
    <w:rsid w:val="00990CEB"/>
    <w:rsid w:val="009D032C"/>
    <w:rsid w:val="00A25BE0"/>
    <w:rsid w:val="00A60819"/>
    <w:rsid w:val="00B03B72"/>
    <w:rsid w:val="00B31785"/>
    <w:rsid w:val="00B77320"/>
    <w:rsid w:val="00B818BB"/>
    <w:rsid w:val="00BE5B5C"/>
    <w:rsid w:val="00C00CE8"/>
    <w:rsid w:val="00C15EE8"/>
    <w:rsid w:val="00CA7695"/>
    <w:rsid w:val="00CD0AA1"/>
    <w:rsid w:val="00D013E9"/>
    <w:rsid w:val="00D064E4"/>
    <w:rsid w:val="00D232FB"/>
    <w:rsid w:val="00D66F3C"/>
    <w:rsid w:val="00E92A27"/>
    <w:rsid w:val="00EF15CA"/>
    <w:rsid w:val="00F12952"/>
    <w:rsid w:val="00F50D09"/>
    <w:rsid w:val="00F93577"/>
    <w:rsid w:val="00FC1CAC"/>
    <w:rsid w:val="63A2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adjustRightInd w:val="0"/>
      <w:snapToGrid w:val="0"/>
      <w:spacing w:after="0" w:line="600" w:lineRule="exact"/>
      <w:jc w:val="both"/>
      <w:outlineLvl w:val="0"/>
    </w:pPr>
    <w:rPr>
      <w:rFonts w:ascii="Times New Roman" w:hAnsi="Times New Roman" w:eastAsia="黑体" w:cstheme="majorBidi"/>
      <w:b/>
      <w:sz w:val="30"/>
      <w:szCs w:val="48"/>
    </w:rPr>
  </w:style>
  <w:style w:type="paragraph" w:styleId="3">
    <w:name w:val="heading 2"/>
    <w:basedOn w:val="1"/>
    <w:next w:val="1"/>
    <w:link w:val="19"/>
    <w:autoRedefine/>
    <w:unhideWhenUsed/>
    <w:qFormat/>
    <w:uiPriority w:val="9"/>
    <w:pPr>
      <w:keepNext/>
      <w:keepLines/>
      <w:spacing w:after="0" w:line="600" w:lineRule="exact"/>
      <w:jc w:val="both"/>
      <w:outlineLvl w:val="1"/>
    </w:pPr>
    <w:rPr>
      <w:rFonts w:ascii="Times New Roman" w:hAnsi="Times New Roman" w:eastAsia="仿宋_GB2312" w:cstheme="majorBidi"/>
      <w:b/>
      <w:sz w:val="30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after="0" w:line="600" w:lineRule="exact"/>
      <w:jc w:val="both"/>
      <w:outlineLvl w:val="2"/>
    </w:pPr>
    <w:rPr>
      <w:rFonts w:ascii="Times New Roman" w:hAnsi="Times New Roman" w:eastAsia="仿宋_GB2312" w:cstheme="majorBidi"/>
      <w:sz w:val="30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600" w:lineRule="exact"/>
      <w:jc w:val="both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600" w:lineRule="exact"/>
      <w:jc w:val="both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 w:line="600" w:lineRule="exact"/>
      <w:jc w:val="both"/>
      <w:outlineLvl w:val="5"/>
    </w:pPr>
    <w:rPr>
      <w:rFonts w:cstheme="majorBidi"/>
      <w:b/>
      <w:bCs/>
      <w:color w:val="104862" w:themeColor="accent1" w:themeShade="BF"/>
      <w:sz w:val="3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 w:line="600" w:lineRule="exact"/>
      <w:jc w:val="both"/>
      <w:outlineLvl w:val="6"/>
    </w:pPr>
    <w:rPr>
      <w:rFonts w:cstheme="majorBidi"/>
      <w:b/>
      <w:bCs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 w:line="600" w:lineRule="exact"/>
      <w:jc w:val="both"/>
      <w:outlineLvl w:val="7"/>
    </w:pPr>
    <w:rPr>
      <w:rFonts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 w:line="600" w:lineRule="exact"/>
      <w:jc w:val="both"/>
      <w:outlineLvl w:val="8"/>
    </w:pPr>
    <w:rPr>
      <w:rFonts w:eastAsiaTheme="majorEastAsia"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tLeast"/>
    </w:pPr>
    <w:rPr>
      <w:rFonts w:ascii="Times New Roman" w:hAnsi="Times New Roman" w:eastAsia="仿宋_GB2312"/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hAnsi="Times New Roman" w:eastAsia="仿宋_GB2312"/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line="600" w:lineRule="exact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="Times New Roman" w:hAnsi="Times New Roman" w:eastAsia="黑体" w:cstheme="majorBidi"/>
      <w:b/>
      <w:sz w:val="30"/>
      <w:szCs w:val="48"/>
    </w:rPr>
  </w:style>
  <w:style w:type="character" w:customStyle="1" w:styleId="19">
    <w:name w:val="标题 2 字符"/>
    <w:basedOn w:val="17"/>
    <w:link w:val="3"/>
    <w:qFormat/>
    <w:uiPriority w:val="9"/>
    <w:rPr>
      <w:rFonts w:ascii="Times New Roman" w:hAnsi="Times New Roman" w:eastAsia="仿宋_GB2312" w:cstheme="majorBidi"/>
      <w:b/>
      <w:sz w:val="30"/>
      <w:szCs w:val="40"/>
    </w:rPr>
  </w:style>
  <w:style w:type="character" w:customStyle="1" w:styleId="20">
    <w:name w:val="标题 3 字符"/>
    <w:basedOn w:val="17"/>
    <w:link w:val="4"/>
    <w:uiPriority w:val="9"/>
    <w:rPr>
      <w:rFonts w:ascii="Times New Roman" w:hAnsi="Times New Roman" w:eastAsia="仿宋_GB2312" w:cstheme="majorBidi"/>
      <w:sz w:val="30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  <w:sz w:val="32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:sz w:val="3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line="600" w:lineRule="exact"/>
      <w:jc w:val="center"/>
    </w:pPr>
    <w:rPr>
      <w:rFonts w:ascii="Times New Roman" w:hAnsi="Times New Roman" w:eastAsia="仿宋_GB2312"/>
      <w:i/>
      <w:iCs/>
      <w:color w:val="404040" w:themeColor="text1" w:themeTint="BF"/>
      <w:sz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rFonts w:ascii="Times New Roman" w:hAnsi="Times New Roman" w:eastAsia="仿宋_GB2312"/>
      <w:i/>
      <w:iCs/>
      <w:color w:val="404040" w:themeColor="text1" w:themeTint="BF"/>
      <w:sz w:val="3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0" w:line="600" w:lineRule="exact"/>
      <w:ind w:left="720"/>
      <w:contextualSpacing/>
      <w:jc w:val="both"/>
    </w:pPr>
    <w:rPr>
      <w:rFonts w:ascii="Times New Roman" w:hAnsi="Times New Roman" w:eastAsia="仿宋_GB2312"/>
      <w:sz w:val="32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600" w:lineRule="exact"/>
      <w:ind w:left="864" w:right="864"/>
      <w:jc w:val="center"/>
    </w:pPr>
    <w:rPr>
      <w:rFonts w:ascii="Times New Roman" w:hAnsi="Times New Roman" w:eastAsia="仿宋_GB2312"/>
      <w:i/>
      <w:iCs/>
      <w:color w:val="104862" w:themeColor="accent1" w:themeShade="BF"/>
      <w:sz w:val="32"/>
    </w:rPr>
  </w:style>
  <w:style w:type="character" w:customStyle="1" w:styleId="34">
    <w:name w:val="明显引用 字符"/>
    <w:basedOn w:val="17"/>
    <w:link w:val="33"/>
    <w:qFormat/>
    <w:uiPriority w:val="30"/>
    <w:rPr>
      <w:rFonts w:ascii="Times New Roman" w:hAnsi="Times New Roman" w:eastAsia="仿宋_GB2312"/>
      <w:i/>
      <w:iCs/>
      <w:color w:val="104862" w:themeColor="accent1" w:themeShade="BF"/>
      <w:sz w:val="32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38">
    <w:name w:val="font31"/>
    <w:basedOn w:val="17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39">
    <w:name w:val="font11"/>
    <w:basedOn w:val="17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1059</Characters>
  <Lines>9</Lines>
  <Paragraphs>2</Paragraphs>
  <TotalTime>59</TotalTime>
  <ScaleCrop>false</ScaleCrop>
  <LinksUpToDate>false</LinksUpToDate>
  <CharactersWithSpaces>1233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2025-12-15T06:41:00Z</dcterms:created>
  <dc:creator>liang sh</dc:creator>
  <cp:lastModifiedBy>Oscar</cp:lastModifiedBy>
  <dcterms:modified xsi:type="dcterms:W3CDTF">2025-12-17T11:30:07Z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eyJoZGlkIjoiYTQyOWY0NWRmZGUwNmQ0Mzk1MjQyYjZjMTBlMzVlZTIiLCJ1c2VySWQiOiIxMzM3MDM3ODU0In0=</vt:lpwstr>
  </property>
  <property fmtid="{D5CDD505-2E9C-101B-9397-08002B2CF9AE}" pid="3" name="KSOProductBuildVer">
    <vt:lpwstr>2052-12.1.0.24034</vt:lpwstr>
  </property>
  <property fmtid="{D5CDD505-2E9C-101B-9397-08002B2CF9AE}" pid="4" name="ICV">
    <vt:lpwstr>001164216CAF4FABA152E4AA3EE7145E_12</vt:lpwstr>
  </property>
</Properties>
</file>